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line="240" w:lineRule="auto"/>
        <w:contextualSpacing w:val="0"/>
        <w:jc w:val="center"/>
        <w:rPr>
          <w:rFonts w:ascii="Century Gothic" w:cs="Century Gothic" w:eastAsia="Century Gothic" w:hAnsi="Century Gothic"/>
          <w:b w:val="1"/>
          <w:color w:val="0033a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a0"/>
          <w:sz w:val="28"/>
          <w:szCs w:val="28"/>
          <w:rtl w:val="0"/>
        </w:rPr>
        <w:t xml:space="preserve">Arts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33a0"/>
          <w:sz w:val="28"/>
          <w:szCs w:val="28"/>
          <w:rtl w:val="0"/>
        </w:rPr>
        <w:t xml:space="preserve"> Essentials Spending Planner</w:t>
      </w:r>
    </w:p>
    <w:p w:rsidR="00000000" w:rsidDel="00000000" w:rsidP="00000000" w:rsidRDefault="00000000" w:rsidRPr="00000000" w14:paraId="00000001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right="0" w:firstLine="0"/>
        <w:contextualSpacing w:val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Arts Liaisons, administrators, and other arts teachers can use the following guide to collaboratively plan how to spend Arts Essentials grant money each year. </w:t>
      </w:r>
      <w:r w:rsidDel="00000000" w:rsidR="00000000" w:rsidRPr="00000000">
        <w:rPr>
          <w:rFonts w:ascii="Century Gothic" w:cs="Century Gothic" w:eastAsia="Century Gothic" w:hAnsi="Century Gothic"/>
          <w:i w:val="1"/>
          <w:highlight w:val="white"/>
          <w:rtl w:val="0"/>
        </w:rPr>
        <w:t xml:space="preserve">NOTE: Not all fields need to be completed—focus on those that are high-priority.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0"/>
        <w:gridCol w:w="7980"/>
        <w:tblGridChange w:id="0">
          <w:tblGrid>
            <w:gridCol w:w="2850"/>
            <w:gridCol w:w="7980"/>
          </w:tblGrid>
        </w:tblGridChange>
      </w:tblGrid>
      <w:tr>
        <w:tc>
          <w:tcPr>
            <w:shd w:fill="0033a0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Purpose of Spending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33a0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Things to Consider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Increasing Quality of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Our arts units / lessons could be even higher quality if students had access to...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Increasing Access and Equity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More students could have access to quality arts instruction if we had more...</w:t>
            </w:r>
          </w:p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Addressing Gaps or Deficits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Items or materials our arts teachers usually run out of quickly or always need more of during the year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Things we forgot to budget for this year / unexpected expenditures that popped up:</w:t>
            </w:r>
          </w:p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22222"/>
                <w:rtl w:val="0"/>
              </w:rPr>
              <w:t xml:space="preserve">Removing Roadblocks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projects are we postponing or saying “no” to because of lack of materials or supplies?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0033a0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Purpose of Spending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33a0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Things to Consider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Multi-Tiered Systems of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Tier 2 and 3 strategies in our arts classes could be more effective if our students had access to…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Field Trips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Our units/lessons would be enhanced if we could take a field trip to…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Diverse Learner Support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Which students would engage better in arts classes if they had further supports? What supports would they need?</w:t>
            </w:r>
          </w:p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Repairs or Upgrades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Arts materials, equipment, or spaces that need repair/upgrade:</w:t>
            </w:r>
          </w:p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Performances and Exhibitions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Our performances and/or exhibitions would be higher-quality if we had...</w:t>
            </w:r>
          </w:p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contextualSpacing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Other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Other arts-related purchasing ideas:</w:t>
            </w:r>
          </w:p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after="200" w:before="0" w:line="240" w:lineRule="auto"/>
        <w:contextualSpacing w:val="0"/>
        <w:jc w:val="center"/>
        <w:rPr>
          <w:rFonts w:ascii="Century Gothic" w:cs="Century Gothic" w:eastAsia="Century Gothic" w:hAnsi="Century Gothic"/>
          <w:b w:val="1"/>
          <w:color w:val="0033a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a0"/>
          <w:sz w:val="28"/>
          <w:szCs w:val="28"/>
          <w:rtl w:val="0"/>
        </w:rPr>
        <w:t xml:space="preserve">Arts Essentials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33a0"/>
          <w:sz w:val="28"/>
          <w:szCs w:val="28"/>
          <w:rtl w:val="0"/>
        </w:rPr>
        <w:t xml:space="preserve">Spending Planner: Budgeting Sheet</w:t>
      </w:r>
    </w:p>
    <w:tbl>
      <w:tblPr>
        <w:tblStyle w:val="Table2"/>
        <w:tblW w:w="10965.0" w:type="dxa"/>
        <w:jc w:val="left"/>
        <w:tblInd w:w="15.00000000000002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960"/>
        <w:gridCol w:w="2850"/>
        <w:gridCol w:w="2130"/>
        <w:gridCol w:w="1545"/>
        <w:gridCol w:w="810"/>
        <w:gridCol w:w="735"/>
        <w:gridCol w:w="1065"/>
        <w:tblGridChange w:id="0">
          <w:tblGrid>
            <w:gridCol w:w="870"/>
            <w:gridCol w:w="960"/>
            <w:gridCol w:w="2850"/>
            <w:gridCol w:w="2130"/>
            <w:gridCol w:w="1545"/>
            <w:gridCol w:w="810"/>
            <w:gridCol w:w="735"/>
            <w:gridCol w:w="1065"/>
          </w:tblGrid>
        </w:tblGridChange>
      </w:tblGrid>
      <w:tr>
        <w:tc>
          <w:tcPr>
            <w:shd w:fill="0033a0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School Year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Quarter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Description of Purchase/Item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Vendor Name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Item No #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contextualSpacing w:val="0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Price Per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shd w:fill="0033a0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contextualSpacing w:val="0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73.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7"/>
            <w:shd w:fill="0033a0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contextualSpacing w:val="0"/>
              <w:jc w:val="right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contextualSpacing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NOTES: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431.9999999999999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-314324</wp:posOffset>
          </wp:positionV>
          <wp:extent cx="1129037" cy="581025"/>
          <wp:effectExtent b="0" l="0" r="0" t="0"/>
          <wp:wrapSquare wrapText="bothSides" distB="57150" distT="57150" distL="57150" distR="57150"/>
          <wp:docPr descr="cpslogo@2x.png" id="1" name="image1.png"/>
          <a:graphic>
            <a:graphicData uri="http://schemas.openxmlformats.org/drawingml/2006/picture">
              <pic:pic>
                <pic:nvPicPr>
                  <pic:cNvPr descr="cpslogo@2x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7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